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9E92" w14:textId="1B8C78FC" w:rsidR="00011869" w:rsidRPr="00011869" w:rsidRDefault="00011869" w:rsidP="00011869">
      <w:pPr>
        <w:spacing w:line="480" w:lineRule="auto"/>
      </w:pPr>
      <w:r w:rsidRPr="001B667F">
        <w:t xml:space="preserve">Please note that supplementary materials are available on the journal website for </w:t>
      </w:r>
      <w:r w:rsidRPr="001B667F">
        <w:rPr>
          <w:i/>
          <w:iCs/>
        </w:rPr>
        <w:t>Sibbaldia the International Journal of Botanic Garden Horticulture</w:t>
      </w:r>
      <w:r w:rsidRPr="001B667F">
        <w:t>. Files are as supplied by the author and have not subjected to the Journal’s editorial processes.</w:t>
      </w:r>
    </w:p>
    <w:p w14:paraId="20A2E519" w14:textId="01F09945" w:rsidR="009D6BB2" w:rsidRDefault="009D6BB2" w:rsidP="009D6BB2">
      <w:pPr>
        <w:spacing w:line="48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011869">
        <w:t>Supplementary figures for</w:t>
      </w:r>
      <w:r>
        <w:t xml:space="preserve"> </w:t>
      </w:r>
      <w:r w:rsidRPr="008A2457">
        <w:rPr>
          <w:rFonts w:eastAsiaTheme="minorEastAsia" w:cstheme="minorHAnsi"/>
          <w:b/>
          <w:bCs/>
          <w:sz w:val="24"/>
          <w:szCs w:val="24"/>
        </w:rPr>
        <w:t xml:space="preserve">Bringing Australia’s vulnerable Baw-Baw Berry, </w:t>
      </w:r>
      <w:r w:rsidRPr="008A2457">
        <w:rPr>
          <w:rFonts w:eastAsiaTheme="minorEastAsia" w:cstheme="minorHAnsi"/>
          <w:b/>
          <w:bCs/>
          <w:i/>
          <w:iCs/>
          <w:sz w:val="24"/>
          <w:szCs w:val="24"/>
        </w:rPr>
        <w:t xml:space="preserve">Wittsteinia vacciniacea </w:t>
      </w:r>
      <w:r w:rsidRPr="008A2457">
        <w:rPr>
          <w:rFonts w:eastAsiaTheme="minorEastAsia" w:cstheme="minorHAnsi"/>
          <w:b/>
          <w:bCs/>
          <w:sz w:val="24"/>
          <w:szCs w:val="24"/>
        </w:rPr>
        <w:t>F.Muell., into cultivation</w:t>
      </w:r>
    </w:p>
    <w:p w14:paraId="243BA223" w14:textId="77777777" w:rsidR="009D6BB2" w:rsidRDefault="009D6BB2" w:rsidP="009D6BB2">
      <w:pPr>
        <w:spacing w:line="480" w:lineRule="auto"/>
        <w:jc w:val="center"/>
        <w:rPr>
          <w:rFonts w:eastAsiaTheme="minorEastAsia" w:cstheme="minorHAnsi"/>
          <w:sz w:val="24"/>
          <w:szCs w:val="24"/>
        </w:rPr>
      </w:pPr>
      <w:r w:rsidRPr="008A2457">
        <w:rPr>
          <w:rFonts w:eastAsiaTheme="minorEastAsia" w:cstheme="minorHAnsi"/>
          <w:sz w:val="24"/>
          <w:szCs w:val="24"/>
        </w:rPr>
        <w:t>Virginia G. Williamson, Anthony R. Rendall, Li-Hsin Wu and Megan J. Hirs</w:t>
      </w:r>
      <w:r>
        <w:rPr>
          <w:rFonts w:eastAsiaTheme="minorEastAsia" w:cstheme="minorHAnsi"/>
          <w:sz w:val="24"/>
          <w:szCs w:val="24"/>
        </w:rPr>
        <w:t>t</w:t>
      </w:r>
    </w:p>
    <w:p w14:paraId="0B750039" w14:textId="77777777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 w:rsidRPr="008A2457">
        <w:rPr>
          <w:rFonts w:asciiTheme="minorHAnsi" w:eastAsia="Calibri" w:hAnsiTheme="minorHAnsi" w:cstheme="minorHAnsi"/>
          <w:b/>
          <w:bCs/>
        </w:rPr>
        <w:t xml:space="preserve">Figure S1. </w:t>
      </w:r>
      <w:r w:rsidRPr="008A2457">
        <w:rPr>
          <w:rFonts w:asciiTheme="minorHAnsi" w:eastAsia="Calibri" w:hAnsiTheme="minorHAnsi" w:cstheme="minorHAnsi"/>
        </w:rPr>
        <w:t>Outline of the state of Victoria showing the</w:t>
      </w:r>
      <w:r w:rsidRPr="008A2457">
        <w:rPr>
          <w:rFonts w:asciiTheme="minorHAnsi" w:eastAsia="Calibri" w:hAnsiTheme="minorHAnsi" w:cstheme="minorHAnsi"/>
          <w:b/>
          <w:bCs/>
        </w:rPr>
        <w:t xml:space="preserve"> </w:t>
      </w:r>
      <w:r w:rsidRPr="008A2457">
        <w:rPr>
          <w:rFonts w:asciiTheme="minorHAnsi" w:eastAsia="Calibri" w:hAnsiTheme="minorHAnsi" w:cstheme="minorHAnsi"/>
        </w:rPr>
        <w:t>current distribution of the Baw-Baw Berry (</w:t>
      </w:r>
      <w:r w:rsidRPr="008A2457">
        <w:rPr>
          <w:rFonts w:asciiTheme="minorHAnsi" w:eastAsia="Calibri" w:hAnsiTheme="minorHAnsi" w:cstheme="minorHAnsi"/>
          <w:i/>
          <w:iCs/>
        </w:rPr>
        <w:t>Wittsteinia vacciniacea</w:t>
      </w:r>
      <w:r w:rsidRPr="008A2457">
        <w:rPr>
          <w:rFonts w:asciiTheme="minorHAnsi" w:eastAsia="Calibri" w:hAnsiTheme="minorHAnsi" w:cstheme="minorHAnsi"/>
        </w:rPr>
        <w:t xml:space="preserve">) highlighted in green, accessed from Flora of Victoria (Vicflora, 2024). Note the disjunct population on the most southern point of Victoria, at Wilsons Promontory. </w:t>
      </w:r>
    </w:p>
    <w:p w14:paraId="617399F9" w14:textId="77777777" w:rsidR="009D6BB2" w:rsidRDefault="009D6BB2" w:rsidP="009D6BB2">
      <w:pPr>
        <w:pStyle w:val="NormalWeb"/>
        <w:spacing w:before="0" w:beforeAutospacing="0" w:after="0" w:afterAutospacing="0" w:line="480" w:lineRule="auto"/>
        <w:jc w:val="both"/>
        <w:rPr>
          <w:rFonts w:asciiTheme="minorHAnsi" w:eastAsiaTheme="minorEastAsia" w:hAnsiTheme="minorHAnsi" w:cstheme="minorHAnsi"/>
          <w:lang w:eastAsia="en-US"/>
        </w:rPr>
      </w:pPr>
      <w:r w:rsidRPr="008A2457">
        <w:rPr>
          <w:rFonts w:asciiTheme="minorHAnsi" w:eastAsiaTheme="minorEastAsia" w:hAnsiTheme="minorHAnsi" w:cstheme="minorHAnsi"/>
          <w:b/>
          <w:bCs/>
          <w:lang w:eastAsia="en-US"/>
        </w:rPr>
        <w:t>Figure S2.</w:t>
      </w:r>
      <w:r w:rsidRPr="008A2457">
        <w:rPr>
          <w:rFonts w:asciiTheme="minorHAnsi" w:eastAsiaTheme="minorEastAsia" w:hAnsiTheme="minorHAnsi" w:cstheme="minorHAnsi"/>
          <w:lang w:eastAsia="en-US"/>
        </w:rPr>
        <w:t xml:space="preserve"> X-ray image of a random sample of 56 cleaned Baw-Baw Berry (</w:t>
      </w:r>
      <w:r w:rsidRPr="008A2457">
        <w:rPr>
          <w:rFonts w:asciiTheme="minorHAnsi" w:eastAsiaTheme="minorEastAsia" w:hAnsiTheme="minorHAnsi" w:cstheme="minorHAnsi"/>
          <w:i/>
          <w:iCs/>
          <w:lang w:eastAsia="en-US"/>
        </w:rPr>
        <w:t>Wittsteinia vacciniacea</w:t>
      </w:r>
      <w:r w:rsidRPr="008A2457">
        <w:rPr>
          <w:rFonts w:asciiTheme="minorHAnsi" w:eastAsiaTheme="minorEastAsia" w:hAnsiTheme="minorHAnsi" w:cstheme="minorHAnsi"/>
          <w:lang w:eastAsia="en-US"/>
        </w:rPr>
        <w:t>)</w:t>
      </w:r>
      <w:r w:rsidRPr="008A2457">
        <w:rPr>
          <w:rFonts w:asciiTheme="minorHAnsi" w:eastAsiaTheme="minorEastAsia" w:hAnsiTheme="minorHAnsi" w:cstheme="minorHAnsi"/>
          <w:i/>
          <w:iCs/>
          <w:lang w:eastAsia="en-US"/>
        </w:rPr>
        <w:t xml:space="preserve"> </w:t>
      </w:r>
      <w:r w:rsidRPr="008A2457">
        <w:rPr>
          <w:rFonts w:asciiTheme="minorHAnsi" w:eastAsiaTheme="minorEastAsia" w:hAnsiTheme="minorHAnsi" w:cstheme="minorHAnsi"/>
          <w:lang w:eastAsia="en-US"/>
        </w:rPr>
        <w:t>seed. Filled seed appear white; non- or partially-filled seed is darker. From this image the calculated fill rate is 91%.</w:t>
      </w:r>
    </w:p>
    <w:p w14:paraId="08B350B4" w14:textId="77777777" w:rsidR="009D6BB2" w:rsidRDefault="009D6BB2" w:rsidP="009D6BB2">
      <w:pPr>
        <w:spacing w:line="480" w:lineRule="auto"/>
        <w:jc w:val="both"/>
        <w:rPr>
          <w:rFonts w:cstheme="minorHAnsi"/>
          <w:sz w:val="24"/>
          <w:szCs w:val="24"/>
        </w:rPr>
      </w:pPr>
      <w:r w:rsidRPr="008A2457">
        <w:rPr>
          <w:rFonts w:cstheme="minorHAnsi"/>
          <w:b/>
          <w:bCs/>
          <w:sz w:val="24"/>
          <w:szCs w:val="24"/>
        </w:rPr>
        <w:t>Figure S3.</w:t>
      </w:r>
      <w:r w:rsidRPr="008A2457">
        <w:rPr>
          <w:rFonts w:cstheme="minorHAnsi"/>
          <w:sz w:val="24"/>
          <w:szCs w:val="24"/>
        </w:rPr>
        <w:t xml:space="preserve"> </w:t>
      </w:r>
      <w:r w:rsidRPr="008A2457">
        <w:rPr>
          <w:rFonts w:cstheme="minorHAnsi"/>
          <w:i/>
          <w:iCs/>
          <w:sz w:val="24"/>
          <w:szCs w:val="24"/>
        </w:rPr>
        <w:t>Wittsteinia vacciniacea</w:t>
      </w:r>
      <w:r w:rsidRPr="008A2457">
        <w:rPr>
          <w:rFonts w:cstheme="minorHAnsi"/>
          <w:sz w:val="24"/>
          <w:szCs w:val="24"/>
        </w:rPr>
        <w:t>, showing the abundant adventitious roots and suckering habit. No treatment had been given to this plant. (Photo: V. Williamson)</w:t>
      </w:r>
    </w:p>
    <w:p w14:paraId="07EB34C5" w14:textId="41EA667E" w:rsidR="009D6BB2" w:rsidRDefault="009D6BB2" w:rsidP="009D6BB2">
      <w:pPr>
        <w:spacing w:line="480" w:lineRule="auto"/>
        <w:jc w:val="both"/>
        <w:rPr>
          <w:rFonts w:cstheme="minorHAnsi"/>
          <w:sz w:val="24"/>
          <w:szCs w:val="24"/>
        </w:rPr>
      </w:pPr>
      <w:r w:rsidRPr="008A2457">
        <w:rPr>
          <w:rFonts w:cstheme="minorHAnsi"/>
          <w:b/>
          <w:bCs/>
          <w:sz w:val="24"/>
          <w:szCs w:val="24"/>
        </w:rPr>
        <w:t xml:space="preserve">Figure S4. </w:t>
      </w:r>
      <w:r w:rsidRPr="008A2457">
        <w:rPr>
          <w:rFonts w:cstheme="minorHAnsi"/>
          <w:sz w:val="24"/>
          <w:szCs w:val="24"/>
        </w:rPr>
        <w:t xml:space="preserve">Young plants of </w:t>
      </w:r>
      <w:r w:rsidRPr="008A2457">
        <w:rPr>
          <w:rFonts w:cstheme="minorHAnsi"/>
          <w:i/>
          <w:iCs/>
          <w:sz w:val="24"/>
          <w:szCs w:val="24"/>
        </w:rPr>
        <w:t>Wittsteinia vacciniace</w:t>
      </w:r>
      <w:r w:rsidRPr="008A2457">
        <w:rPr>
          <w:rFonts w:cstheme="minorHAnsi"/>
          <w:sz w:val="24"/>
          <w:szCs w:val="24"/>
        </w:rPr>
        <w:t>a which had germinated after the berries had been washed downstream</w:t>
      </w:r>
      <w:r w:rsidR="001F57E8">
        <w:rPr>
          <w:rFonts w:cstheme="minorHAnsi"/>
          <w:sz w:val="24"/>
          <w:szCs w:val="24"/>
        </w:rPr>
        <w:t xml:space="preserve"> at the</w:t>
      </w:r>
      <w:r w:rsidRPr="008A2457">
        <w:rPr>
          <w:rFonts w:cstheme="minorHAnsi"/>
          <w:sz w:val="24"/>
          <w:szCs w:val="24"/>
        </w:rPr>
        <w:t xml:space="preserve"> Mt Donna Buang site. (Photo: V. Williamson)</w:t>
      </w:r>
    </w:p>
    <w:p w14:paraId="126823AF" w14:textId="2A8DFD33" w:rsidR="00121247" w:rsidRDefault="00121247" w:rsidP="00121247">
      <w:pPr>
        <w:spacing w:line="480" w:lineRule="auto"/>
        <w:jc w:val="both"/>
        <w:rPr>
          <w:rFonts w:eastAsia="Calibri" w:cstheme="minorHAnsi"/>
          <w:sz w:val="24"/>
          <w:szCs w:val="24"/>
        </w:rPr>
      </w:pPr>
      <w:r w:rsidRPr="00121247">
        <w:rPr>
          <w:rFonts w:cstheme="minorHAnsi"/>
          <w:b/>
          <w:bCs/>
          <w:sz w:val="24"/>
          <w:szCs w:val="24"/>
        </w:rPr>
        <w:t xml:space="preserve">Figure </w:t>
      </w:r>
      <w:r w:rsidRPr="00CF1889">
        <w:rPr>
          <w:rFonts w:cstheme="minorHAnsi"/>
          <w:b/>
          <w:bCs/>
          <w:sz w:val="24"/>
          <w:szCs w:val="24"/>
        </w:rPr>
        <w:t>S5.</w:t>
      </w:r>
      <w:r w:rsidRPr="00CF1889">
        <w:rPr>
          <w:rFonts w:cstheme="minorHAnsi"/>
          <w:sz w:val="24"/>
          <w:szCs w:val="24"/>
        </w:rPr>
        <w:t xml:space="preserve"> </w:t>
      </w:r>
      <w:r w:rsidRPr="008A2457">
        <w:rPr>
          <w:rFonts w:cstheme="minorHAnsi"/>
          <w:sz w:val="24"/>
          <w:szCs w:val="24"/>
        </w:rPr>
        <w:t xml:space="preserve">Response curves of </w:t>
      </w:r>
      <w:r w:rsidRPr="008A2457">
        <w:rPr>
          <w:rFonts w:cstheme="minorHAnsi"/>
          <w:i/>
          <w:iCs/>
          <w:sz w:val="24"/>
          <w:szCs w:val="24"/>
        </w:rPr>
        <w:t>W</w:t>
      </w:r>
      <w:r>
        <w:rPr>
          <w:rFonts w:cstheme="minorHAnsi"/>
          <w:i/>
          <w:iCs/>
          <w:sz w:val="24"/>
          <w:szCs w:val="24"/>
        </w:rPr>
        <w:t>ittsteinia</w:t>
      </w:r>
      <w:r w:rsidRPr="008A2457">
        <w:rPr>
          <w:rFonts w:cstheme="minorHAnsi"/>
          <w:i/>
          <w:iCs/>
          <w:sz w:val="24"/>
          <w:szCs w:val="24"/>
        </w:rPr>
        <w:t xml:space="preserve"> </w:t>
      </w:r>
      <w:r w:rsidRPr="008A2457">
        <w:rPr>
          <w:rFonts w:eastAsia="Calibri" w:cstheme="minorHAnsi"/>
          <w:i/>
          <w:iCs/>
          <w:sz w:val="24"/>
          <w:szCs w:val="24"/>
        </w:rPr>
        <w:t>vacciniacea</w:t>
      </w:r>
      <w:r w:rsidRPr="008A2457">
        <w:rPr>
          <w:rFonts w:eastAsia="Calibri" w:cstheme="minorHAnsi"/>
          <w:sz w:val="24"/>
          <w:szCs w:val="24"/>
        </w:rPr>
        <w:t xml:space="preserve"> distribution considering an Australia-wide model.</w:t>
      </w:r>
    </w:p>
    <w:p w14:paraId="2C053F38" w14:textId="7F40DB7E" w:rsidR="009D6BB2" w:rsidRDefault="00121247" w:rsidP="00011869">
      <w:pPr>
        <w:spacing w:line="480" w:lineRule="auto"/>
        <w:jc w:val="both"/>
        <w:rPr>
          <w:rFonts w:eastAsia="Calibri" w:cstheme="minorHAnsi"/>
          <w:sz w:val="24"/>
          <w:szCs w:val="24"/>
          <w:lang w:eastAsia="en-GB"/>
        </w:rPr>
      </w:pPr>
      <w:r w:rsidRPr="00121247">
        <w:rPr>
          <w:rFonts w:cstheme="minorHAnsi"/>
          <w:b/>
          <w:bCs/>
          <w:sz w:val="24"/>
          <w:szCs w:val="24"/>
        </w:rPr>
        <w:t xml:space="preserve">Figure </w:t>
      </w:r>
      <w:r w:rsidRPr="00CF1889">
        <w:rPr>
          <w:rFonts w:cstheme="minorHAnsi"/>
          <w:b/>
          <w:bCs/>
          <w:sz w:val="24"/>
          <w:szCs w:val="24"/>
        </w:rPr>
        <w:t>S6.</w:t>
      </w:r>
      <w:r w:rsidRPr="00CF1889">
        <w:rPr>
          <w:rFonts w:cstheme="minorHAnsi"/>
          <w:sz w:val="24"/>
          <w:szCs w:val="24"/>
        </w:rPr>
        <w:t xml:space="preserve"> </w:t>
      </w:r>
      <w:r w:rsidRPr="008A2457">
        <w:rPr>
          <w:rFonts w:cstheme="minorHAnsi"/>
          <w:sz w:val="24"/>
          <w:szCs w:val="24"/>
        </w:rPr>
        <w:t xml:space="preserve">Response curves of </w:t>
      </w:r>
      <w:r w:rsidRPr="008A2457">
        <w:rPr>
          <w:rFonts w:cstheme="minorHAnsi"/>
          <w:i/>
          <w:iCs/>
          <w:sz w:val="24"/>
          <w:szCs w:val="24"/>
        </w:rPr>
        <w:t>W</w:t>
      </w:r>
      <w:r>
        <w:rPr>
          <w:rFonts w:cstheme="minorHAnsi"/>
          <w:i/>
          <w:iCs/>
          <w:sz w:val="24"/>
          <w:szCs w:val="24"/>
        </w:rPr>
        <w:t>ittsteinia</w:t>
      </w:r>
      <w:r w:rsidRPr="008A2457">
        <w:rPr>
          <w:rFonts w:cstheme="minorHAnsi"/>
          <w:i/>
          <w:iCs/>
          <w:sz w:val="24"/>
          <w:szCs w:val="24"/>
        </w:rPr>
        <w:t xml:space="preserve"> </w:t>
      </w:r>
      <w:r w:rsidRPr="008A2457">
        <w:rPr>
          <w:rFonts w:eastAsia="Calibri" w:cstheme="minorHAnsi"/>
          <w:i/>
          <w:iCs/>
          <w:sz w:val="24"/>
          <w:szCs w:val="24"/>
        </w:rPr>
        <w:t>vacciniacea</w:t>
      </w:r>
      <w:r w:rsidRPr="008A2457">
        <w:rPr>
          <w:rFonts w:eastAsia="Calibri" w:cstheme="minorHAnsi"/>
          <w:sz w:val="24"/>
          <w:szCs w:val="24"/>
        </w:rPr>
        <w:t xml:space="preserve"> distribution considering a Köppen-Ge</w:t>
      </w:r>
      <w:r>
        <w:rPr>
          <w:rFonts w:eastAsia="Calibri" w:cstheme="minorHAnsi"/>
          <w:sz w:val="24"/>
          <w:szCs w:val="24"/>
        </w:rPr>
        <w:t>i</w:t>
      </w:r>
      <w:r w:rsidRPr="008A2457">
        <w:rPr>
          <w:rFonts w:eastAsia="Calibri" w:cstheme="minorHAnsi"/>
          <w:sz w:val="24"/>
          <w:szCs w:val="24"/>
        </w:rPr>
        <w:t>ger model.</w:t>
      </w:r>
      <w:r w:rsidR="009D6BB2">
        <w:rPr>
          <w:rFonts w:eastAsia="Calibri" w:cstheme="minorHAnsi"/>
        </w:rPr>
        <w:br w:type="page"/>
      </w:r>
    </w:p>
    <w:p w14:paraId="07E62DAA" w14:textId="677B98A7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Figure S1.</w:t>
      </w:r>
    </w:p>
    <w:p w14:paraId="7FD21478" w14:textId="42D66066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 w:rsidRPr="008A2457">
        <w:rPr>
          <w:rFonts w:asciiTheme="minorHAnsi" w:hAnsiTheme="minorHAnsi" w:cstheme="minorHAnsi"/>
          <w:noProof/>
        </w:rPr>
        <w:drawing>
          <wp:inline distT="0" distB="0" distL="0" distR="0" wp14:anchorId="353D13C1" wp14:editId="032B9FC5">
            <wp:extent cx="3810000" cy="2298700"/>
            <wp:effectExtent l="0" t="0" r="0" b="0"/>
            <wp:docPr id="2100664195" name="Picture 1" descr="A map of australia with green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AFB3" w14:textId="3DCB2FAF" w:rsidR="009D6BB2" w:rsidRDefault="009D6BB2">
      <w:pPr>
        <w:rPr>
          <w:rFonts w:eastAsia="Calibri" w:cstheme="minorHAnsi"/>
          <w:sz w:val="24"/>
          <w:szCs w:val="24"/>
          <w:lang w:eastAsia="en-GB"/>
        </w:rPr>
      </w:pPr>
      <w:r>
        <w:rPr>
          <w:rFonts w:eastAsia="Calibri" w:cstheme="minorHAnsi"/>
        </w:rPr>
        <w:br w:type="page"/>
      </w:r>
    </w:p>
    <w:p w14:paraId="36F11541" w14:textId="61D091B8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Figure S2.</w:t>
      </w:r>
    </w:p>
    <w:p w14:paraId="70D2530D" w14:textId="0709D3B8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 w:rsidRPr="008A2457">
        <w:rPr>
          <w:rFonts w:asciiTheme="minorHAnsi" w:hAnsiTheme="minorHAnsi" w:cstheme="minorHAnsi"/>
          <w:noProof/>
        </w:rPr>
        <w:drawing>
          <wp:inline distT="0" distB="0" distL="0" distR="0" wp14:anchorId="1F0BFF74" wp14:editId="2A53D52A">
            <wp:extent cx="3164400" cy="2505600"/>
            <wp:effectExtent l="0" t="0" r="0" b="9525"/>
            <wp:docPr id="1069054192" name="Picture 1546369721" descr="A close-up of white peb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54192" name="Picture 1546369721" descr="A close-up of white pebbl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400" cy="25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BF45" w14:textId="0CD8A418" w:rsidR="009D6BB2" w:rsidRDefault="009D6BB2">
      <w:pPr>
        <w:rPr>
          <w:rFonts w:eastAsia="Calibri" w:cstheme="minorHAnsi"/>
          <w:sz w:val="24"/>
          <w:szCs w:val="24"/>
          <w:lang w:eastAsia="en-GB"/>
        </w:rPr>
      </w:pPr>
      <w:r>
        <w:rPr>
          <w:rFonts w:eastAsia="Calibri" w:cstheme="minorHAnsi"/>
        </w:rPr>
        <w:br w:type="page"/>
      </w:r>
    </w:p>
    <w:p w14:paraId="6E1BE104" w14:textId="1BC4A08A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Figure S3</w:t>
      </w:r>
      <w:r w:rsidR="00121247">
        <w:rPr>
          <w:rFonts w:asciiTheme="minorHAnsi" w:eastAsia="Calibri" w:hAnsiTheme="minorHAnsi" w:cstheme="minorHAnsi"/>
        </w:rPr>
        <w:t>.</w:t>
      </w:r>
    </w:p>
    <w:p w14:paraId="7126F51B" w14:textId="6D3878E0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 w:rsidRPr="008A2457">
        <w:rPr>
          <w:rFonts w:asciiTheme="minorHAnsi" w:hAnsiTheme="minorHAnsi" w:cstheme="minorHAnsi"/>
          <w:noProof/>
        </w:rPr>
        <w:drawing>
          <wp:inline distT="0" distB="0" distL="0" distR="0" wp14:anchorId="2A8216FF" wp14:editId="5BB90495">
            <wp:extent cx="3248025" cy="4324350"/>
            <wp:effectExtent l="0" t="0" r="0" b="0"/>
            <wp:docPr id="273266146" name="Picture 273266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86318" w14:textId="274E7938" w:rsidR="009D6BB2" w:rsidRDefault="009D6BB2">
      <w:pPr>
        <w:rPr>
          <w:rFonts w:eastAsia="Calibri" w:cstheme="minorHAnsi"/>
          <w:sz w:val="24"/>
          <w:szCs w:val="24"/>
          <w:lang w:eastAsia="en-GB"/>
        </w:rPr>
      </w:pPr>
      <w:r>
        <w:rPr>
          <w:rFonts w:eastAsia="Calibri" w:cstheme="minorHAnsi"/>
        </w:rPr>
        <w:br w:type="page"/>
      </w:r>
    </w:p>
    <w:p w14:paraId="088D2998" w14:textId="614F9FCE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Figure S4</w:t>
      </w:r>
      <w:r w:rsidR="00121247">
        <w:rPr>
          <w:rFonts w:asciiTheme="minorHAnsi" w:eastAsia="Calibri" w:hAnsiTheme="minorHAnsi" w:cstheme="minorHAnsi"/>
        </w:rPr>
        <w:t>.</w:t>
      </w:r>
    </w:p>
    <w:p w14:paraId="7C131ECB" w14:textId="110ABDDC" w:rsidR="009D6BB2" w:rsidRDefault="009D6BB2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 w:rsidRPr="008A2457">
        <w:rPr>
          <w:rFonts w:asciiTheme="minorHAnsi" w:hAnsiTheme="minorHAnsi" w:cstheme="minorHAnsi"/>
          <w:noProof/>
        </w:rPr>
        <w:drawing>
          <wp:inline distT="0" distB="0" distL="0" distR="0" wp14:anchorId="6422525F" wp14:editId="13BF0239">
            <wp:extent cx="3202687" cy="4270248"/>
            <wp:effectExtent l="0" t="0" r="0" b="0"/>
            <wp:docPr id="1126918324" name="Picture 1126918324" descr="A close up of leaves and bran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18324" name="Picture 1126918324" descr="A close up of leaves and branche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687" cy="42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8BB50" w14:textId="6F36D167" w:rsidR="009D6BB2" w:rsidRDefault="009D6BB2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6287D12F" w14:textId="1129D621" w:rsidR="00121247" w:rsidRPr="00121247" w:rsidRDefault="00121247">
      <w:pPr>
        <w:rPr>
          <w:rFonts w:eastAsia="Calibri" w:cstheme="minorHAnsi"/>
          <w:sz w:val="24"/>
          <w:szCs w:val="24"/>
        </w:rPr>
      </w:pPr>
      <w:r w:rsidRPr="00121247">
        <w:rPr>
          <w:rFonts w:eastAsia="Calibri" w:cstheme="minorHAnsi"/>
          <w:sz w:val="24"/>
          <w:szCs w:val="24"/>
        </w:rPr>
        <w:lastRenderedPageBreak/>
        <w:t xml:space="preserve">Figure </w:t>
      </w:r>
      <w:r w:rsidRPr="00E85565">
        <w:rPr>
          <w:rFonts w:eastAsia="Calibri" w:cstheme="minorHAnsi"/>
          <w:sz w:val="24"/>
          <w:szCs w:val="24"/>
        </w:rPr>
        <w:t>S5</w:t>
      </w:r>
      <w:r w:rsidRPr="00121247">
        <w:rPr>
          <w:rFonts w:eastAsia="Calibri" w:cstheme="minorHAnsi"/>
          <w:sz w:val="24"/>
          <w:szCs w:val="24"/>
        </w:rPr>
        <w:t>.</w:t>
      </w:r>
    </w:p>
    <w:p w14:paraId="77C4BBF3" w14:textId="516B4F4A" w:rsidR="00121247" w:rsidRDefault="00121247">
      <w:pPr>
        <w:rPr>
          <w:rFonts w:eastAsia="Calibri" w:cstheme="minorHAnsi"/>
          <w:sz w:val="24"/>
          <w:szCs w:val="24"/>
          <w:lang w:eastAsia="en-GB"/>
        </w:rPr>
      </w:pPr>
      <w:r w:rsidRPr="008A2457">
        <w:rPr>
          <w:rFonts w:cstheme="minorHAnsi"/>
          <w:noProof/>
        </w:rPr>
        <w:drawing>
          <wp:inline distT="0" distB="0" distL="0" distR="0" wp14:anchorId="1CCDA705" wp14:editId="339C5C1C">
            <wp:extent cx="5943600" cy="5943600"/>
            <wp:effectExtent l="0" t="0" r="0" b="0"/>
            <wp:docPr id="281507107" name="Picture 1" descr="A group of graphs showing the size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85399" name="Picture 1" descr="A group of graphs showing the size of a lin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41714" w14:textId="4DA0488C" w:rsidR="007E3227" w:rsidRDefault="007E3227">
      <w:pPr>
        <w:rPr>
          <w:rFonts w:eastAsia="Calibri" w:cstheme="minorHAnsi"/>
          <w:sz w:val="24"/>
          <w:szCs w:val="24"/>
          <w:lang w:eastAsia="en-GB"/>
        </w:rPr>
      </w:pPr>
      <w:r>
        <w:rPr>
          <w:rFonts w:eastAsia="Calibri" w:cstheme="minorHAnsi"/>
        </w:rPr>
        <w:br w:type="page"/>
      </w:r>
    </w:p>
    <w:p w14:paraId="190BF702" w14:textId="311DBA1E" w:rsidR="009D6BB2" w:rsidRDefault="007E3227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 xml:space="preserve">Figure </w:t>
      </w:r>
      <w:r w:rsidRPr="00E85565">
        <w:rPr>
          <w:rFonts w:asciiTheme="minorHAnsi" w:eastAsia="Calibri" w:hAnsiTheme="minorHAnsi" w:cstheme="minorHAnsi"/>
        </w:rPr>
        <w:t>S6</w:t>
      </w:r>
      <w:r>
        <w:rPr>
          <w:rFonts w:asciiTheme="minorHAnsi" w:eastAsia="Calibri" w:hAnsiTheme="minorHAnsi" w:cstheme="minorHAnsi"/>
        </w:rPr>
        <w:t>.</w:t>
      </w:r>
    </w:p>
    <w:p w14:paraId="4AF8B44D" w14:textId="65E47405" w:rsidR="007E3227" w:rsidRDefault="007E3227" w:rsidP="009D6BB2">
      <w:pPr>
        <w:pStyle w:val="NormalWeb"/>
        <w:spacing w:line="480" w:lineRule="auto"/>
        <w:jc w:val="both"/>
        <w:rPr>
          <w:rFonts w:asciiTheme="minorHAnsi" w:eastAsia="Calibri" w:hAnsiTheme="minorHAnsi" w:cstheme="minorHAnsi"/>
        </w:rPr>
      </w:pPr>
      <w:r w:rsidRPr="008A2457">
        <w:rPr>
          <w:rFonts w:asciiTheme="minorHAnsi" w:hAnsiTheme="minorHAnsi" w:cstheme="minorHAnsi"/>
          <w:noProof/>
        </w:rPr>
        <w:drawing>
          <wp:inline distT="0" distB="0" distL="0" distR="0" wp14:anchorId="0843CE38" wp14:editId="72D8EC78">
            <wp:extent cx="5943600" cy="5943600"/>
            <wp:effectExtent l="0" t="0" r="0" b="0"/>
            <wp:docPr id="489822739" name="Picture 2" descr="A group of graph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22739" name="Picture 2" descr="A group of graphs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227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E1EF3" w14:textId="77777777" w:rsidR="00EE2266" w:rsidRDefault="00EE2266" w:rsidP="008B2041">
      <w:pPr>
        <w:spacing w:after="0" w:line="240" w:lineRule="auto"/>
      </w:pPr>
      <w:r>
        <w:separator/>
      </w:r>
    </w:p>
  </w:endnote>
  <w:endnote w:type="continuationSeparator" w:id="0">
    <w:p w14:paraId="7E12B18C" w14:textId="77777777" w:rsidR="00EE2266" w:rsidRDefault="00EE2266" w:rsidP="008B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275B" w14:textId="77777777" w:rsidR="00EE2266" w:rsidRDefault="00EE2266" w:rsidP="008B2041">
      <w:pPr>
        <w:spacing w:after="0" w:line="240" w:lineRule="auto"/>
      </w:pPr>
      <w:r>
        <w:separator/>
      </w:r>
    </w:p>
  </w:footnote>
  <w:footnote w:type="continuationSeparator" w:id="0">
    <w:p w14:paraId="4BF219A4" w14:textId="77777777" w:rsidR="00EE2266" w:rsidRDefault="00EE2266" w:rsidP="008B2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777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3096AC" w14:textId="64227FC4" w:rsidR="00FE252F" w:rsidRDefault="00FE252F">
        <w:pPr>
          <w:pStyle w:val="Header"/>
          <w:jc w:val="right"/>
        </w:pPr>
        <w:r w:rsidRPr="00FE252F">
          <w:rPr>
            <w:sz w:val="24"/>
            <w:szCs w:val="24"/>
          </w:rPr>
          <w:fldChar w:fldCharType="begin"/>
        </w:r>
        <w:r w:rsidRPr="00FE252F">
          <w:rPr>
            <w:sz w:val="24"/>
            <w:szCs w:val="24"/>
          </w:rPr>
          <w:instrText xml:space="preserve"> PAGE   \* MERGEFORMAT </w:instrText>
        </w:r>
        <w:r w:rsidRPr="00FE252F">
          <w:rPr>
            <w:sz w:val="24"/>
            <w:szCs w:val="24"/>
          </w:rPr>
          <w:fldChar w:fldCharType="separate"/>
        </w:r>
        <w:r w:rsidRPr="00FE252F">
          <w:rPr>
            <w:noProof/>
            <w:sz w:val="24"/>
            <w:szCs w:val="24"/>
          </w:rPr>
          <w:t>2</w:t>
        </w:r>
        <w:r w:rsidRPr="00FE252F">
          <w:rPr>
            <w:noProof/>
            <w:sz w:val="24"/>
            <w:szCs w:val="24"/>
          </w:rPr>
          <w:fldChar w:fldCharType="end"/>
        </w:r>
      </w:p>
    </w:sdtContent>
  </w:sdt>
  <w:p w14:paraId="2E906CC0" w14:textId="77777777" w:rsidR="008B2041" w:rsidRDefault="008B20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B2"/>
    <w:rsid w:val="00011869"/>
    <w:rsid w:val="00096AAB"/>
    <w:rsid w:val="000F7792"/>
    <w:rsid w:val="00121247"/>
    <w:rsid w:val="001357C5"/>
    <w:rsid w:val="00185CEA"/>
    <w:rsid w:val="001F57E8"/>
    <w:rsid w:val="002B20FF"/>
    <w:rsid w:val="007E3227"/>
    <w:rsid w:val="00821E18"/>
    <w:rsid w:val="008B2041"/>
    <w:rsid w:val="009D6BB2"/>
    <w:rsid w:val="00CF1889"/>
    <w:rsid w:val="00E85565"/>
    <w:rsid w:val="00EE2266"/>
    <w:rsid w:val="00F22967"/>
    <w:rsid w:val="00F425AA"/>
    <w:rsid w:val="00FE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B01E0"/>
  <w15:chartTrackingRefBased/>
  <w15:docId w15:val="{31BCED9A-623F-4032-B516-ADB7859E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BB2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B2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041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8B2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041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63bb00-175e-46b7-b7b3-bc74158e4fd4}" enabled="0" method="" siteId="{bb63bb00-175e-46b7-b7b3-bc74158e4fd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Williamson</dc:creator>
  <cp:keywords/>
  <dc:description/>
  <cp:lastModifiedBy>Kate Hughes</cp:lastModifiedBy>
  <cp:revision>3</cp:revision>
  <dcterms:created xsi:type="dcterms:W3CDTF">2026-08-11T08:57:00Z</dcterms:created>
  <dcterms:modified xsi:type="dcterms:W3CDTF">2026-08-11T09:01:00Z</dcterms:modified>
</cp:coreProperties>
</file>